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D009" w14:textId="726ABA03" w:rsidR="00EA35BB" w:rsidRDefault="00EA35BB" w:rsidP="00EA35BB">
      <w:pPr>
        <w:pStyle w:val="Title"/>
      </w:pPr>
      <w:r>
        <w:t>[Drug name] for [indication]</w:t>
      </w:r>
    </w:p>
    <w:p w14:paraId="0A7CD4F6" w14:textId="77777777" w:rsidR="00EA35BB" w:rsidRDefault="00EA35BB" w:rsidP="00BD5EBB">
      <w:pPr>
        <w:pStyle w:val="Heading1Red"/>
      </w:pPr>
      <w:r>
        <w:t>RED - specialist prescribing</w:t>
      </w:r>
    </w:p>
    <w:p w14:paraId="6917A880" w14:textId="77777777" w:rsidR="00EA35BB" w:rsidRDefault="00EA35BB" w:rsidP="00BD5EBB">
      <w:pPr>
        <w:pStyle w:val="Heading1Amber"/>
      </w:pPr>
      <w:r>
        <w:t xml:space="preserve">AMBER RETAINED - specialist initiation and stabilisation with occasional input to support non-specialist </w:t>
      </w:r>
      <w:proofErr w:type="gramStart"/>
      <w:r>
        <w:t>prescribing</w:t>
      </w:r>
      <w:proofErr w:type="gramEnd"/>
    </w:p>
    <w:p w14:paraId="0B5F1612" w14:textId="45EF09A2" w:rsidR="00EA35BB" w:rsidRDefault="00EA35BB" w:rsidP="006639A6">
      <w:pPr>
        <w:pStyle w:val="Heading1"/>
        <w:pBdr>
          <w:top w:val="single" w:sz="4" w:space="4" w:color="FFC000"/>
          <w:bottom w:val="single" w:sz="4" w:space="4" w:color="FFC000"/>
        </w:pBdr>
        <w:shd w:val="clear" w:color="auto" w:fill="FFC000"/>
      </w:pPr>
      <w:r>
        <w:t xml:space="preserve">AMBER INITIATED - specialist initiation and stabilisation before non-specialist </w:t>
      </w:r>
      <w:proofErr w:type="gramStart"/>
      <w:r>
        <w:t>prescribing</w:t>
      </w:r>
      <w:proofErr w:type="gramEnd"/>
    </w:p>
    <w:p w14:paraId="45D1E68E" w14:textId="77777777" w:rsidR="00EA35BB" w:rsidRDefault="00EA35BB" w:rsidP="006639A6">
      <w:pPr>
        <w:pStyle w:val="Heading1"/>
        <w:pBdr>
          <w:top w:val="single" w:sz="4" w:space="4" w:color="FFC000"/>
          <w:bottom w:val="single" w:sz="4" w:space="4" w:color="FFC000"/>
        </w:pBdr>
        <w:shd w:val="clear" w:color="auto" w:fill="FFC000"/>
      </w:pPr>
      <w:r>
        <w:t xml:space="preserve">AMBER RECOMMENDED - specialist assessment and recommendation for non-specialist </w:t>
      </w:r>
      <w:proofErr w:type="gramStart"/>
      <w:r>
        <w:t>prescribing</w:t>
      </w:r>
      <w:proofErr w:type="gramEnd"/>
    </w:p>
    <w:p w14:paraId="6797D634" w14:textId="77777777" w:rsidR="00EA35BB" w:rsidRDefault="00EA35BB" w:rsidP="00BD5EBB">
      <w:pPr>
        <w:pStyle w:val="Heading1Green"/>
      </w:pPr>
      <w:r>
        <w:t>GREEN - non-specialist or specialist initiation and prescribing</w:t>
      </w:r>
    </w:p>
    <w:p w14:paraId="1C4F24EF" w14:textId="77777777" w:rsidR="00EA35BB" w:rsidRDefault="00EA35BB" w:rsidP="00BD5EBB">
      <w:pPr>
        <w:pStyle w:val="Heading1Black"/>
      </w:pPr>
      <w:r>
        <w:t xml:space="preserve">BLACK - do not </w:t>
      </w:r>
      <w:proofErr w:type="gramStart"/>
      <w:r>
        <w:t>prescribe</w:t>
      </w:r>
      <w:proofErr w:type="gramEnd"/>
    </w:p>
    <w:p w14:paraId="35ADF520" w14:textId="77777777" w:rsidR="00EA35BB" w:rsidRDefault="00EA35BB" w:rsidP="00BD5EBB">
      <w:pPr>
        <w:pStyle w:val="Heading1Grey"/>
      </w:pPr>
      <w:r>
        <w:t xml:space="preserve">GREY - do not prescribe before </w:t>
      </w:r>
      <w:proofErr w:type="gramStart"/>
      <w:r>
        <w:t>evaluation</w:t>
      </w:r>
      <w:proofErr w:type="gramEnd"/>
    </w:p>
    <w:p w14:paraId="31F07A9D" w14:textId="2348A9FC" w:rsidR="00EA35BB" w:rsidRDefault="00EA35BB" w:rsidP="00EA35BB">
      <w:pPr>
        <w:pStyle w:val="Heading2"/>
      </w:pPr>
      <w:r>
        <w:t>Recommendations</w:t>
      </w:r>
    </w:p>
    <w:p w14:paraId="6B654CF4" w14:textId="77777777" w:rsidR="00EA35BB" w:rsidRDefault="00EA35BB" w:rsidP="00EA35BB">
      <w:r>
        <w:t>In the style of NICE: “The Cheshire and Merseyside Area Prescribing Group recommend some drug as an option for some indication under some circumstances.”</w:t>
      </w:r>
    </w:p>
    <w:p w14:paraId="0364CC28" w14:textId="6DA19886" w:rsidR="00EA35BB" w:rsidRDefault="00EA35BB" w:rsidP="00EA35BB">
      <w:pPr>
        <w:pStyle w:val="Heading2"/>
      </w:pPr>
      <w:r>
        <w:t xml:space="preserve">Prescribing information </w:t>
      </w:r>
    </w:p>
    <w:p w14:paraId="27052E49" w14:textId="77777777" w:rsidR="00EA35BB" w:rsidRDefault="00EA35BB" w:rsidP="00EA35BB">
      <w:r>
        <w:t xml:space="preserve">Dose regimen and monitoring advice. </w:t>
      </w:r>
    </w:p>
    <w:p w14:paraId="40AF946D" w14:textId="28462BA5" w:rsidR="00EA35BB" w:rsidRDefault="00EA35BB" w:rsidP="00EA35BB">
      <w:pPr>
        <w:pStyle w:val="Heading2"/>
      </w:pPr>
      <w:r>
        <w:t xml:space="preserve">Patient factors </w:t>
      </w:r>
    </w:p>
    <w:p w14:paraId="421E4277" w14:textId="77777777" w:rsidR="00EA35BB" w:rsidRDefault="00EA35BB" w:rsidP="00EA35BB">
      <w:r>
        <w:t xml:space="preserve">Specify </w:t>
      </w:r>
      <w:proofErr w:type="gramStart"/>
      <w:r>
        <w:t>particular patient</w:t>
      </w:r>
      <w:proofErr w:type="gramEnd"/>
      <w:r>
        <w:t xml:space="preserve"> groups which may require dose adjustment or monitoring. </w:t>
      </w:r>
    </w:p>
    <w:p w14:paraId="392F10B0" w14:textId="0CCD7C17" w:rsidR="00EA35BB" w:rsidRDefault="00EA35BB" w:rsidP="00EA35BB">
      <w:pPr>
        <w:pStyle w:val="Heading2"/>
      </w:pPr>
      <w:r>
        <w:t xml:space="preserve">Implementation notes </w:t>
      </w:r>
    </w:p>
    <w:p w14:paraId="5D9FFB2A" w14:textId="77777777" w:rsidR="00EA35BB" w:rsidRDefault="00EA35BB" w:rsidP="00EA35BB">
      <w:r>
        <w:t xml:space="preserve">Arrangements for prescribing and monitoring. </w:t>
      </w:r>
    </w:p>
    <w:p w14:paraId="024EC1D8" w14:textId="77777777" w:rsidR="00EA35BB" w:rsidRDefault="00EA35BB" w:rsidP="00EA35BB">
      <w:r>
        <w:t>Specify specialist responsibilities and non-specialist responsibilities for amber drugs.</w:t>
      </w:r>
    </w:p>
    <w:p w14:paraId="11D4CCF3" w14:textId="1DE8AD58" w:rsidR="00EA35BB" w:rsidRDefault="00EA35BB" w:rsidP="00EA35BB">
      <w:pPr>
        <w:pStyle w:val="Heading2"/>
      </w:pPr>
      <w:r>
        <w:t xml:space="preserve">Safety </w:t>
      </w:r>
    </w:p>
    <w:p w14:paraId="1DA27484" w14:textId="77777777" w:rsidR="00EA35BB" w:rsidRDefault="00EA35BB" w:rsidP="00EA35BB">
      <w:r>
        <w:t xml:space="preserve">Include contraindications, significant warnings and cautions, and frequent side-effects. If there are too many then generalise and refer to SPC. </w:t>
      </w:r>
    </w:p>
    <w:p w14:paraId="3FFA4E8F" w14:textId="226F29C7" w:rsidR="00EA35BB" w:rsidRDefault="00EA35BB" w:rsidP="00EA35BB">
      <w:pPr>
        <w:pStyle w:val="Heading2"/>
      </w:pPr>
      <w:r>
        <w:t xml:space="preserve">Cost </w:t>
      </w:r>
    </w:p>
    <w:p w14:paraId="00A4ABBB" w14:textId="77777777" w:rsidR="00EA35BB" w:rsidRDefault="00EA35BB" w:rsidP="00EA35BB">
      <w:r>
        <w:t xml:space="preserve">Calculate one year cost, i.e., 365 days unless not appropriate. </w:t>
      </w:r>
    </w:p>
    <w:p w14:paraId="485CC800" w14:textId="77777777" w:rsidR="00EA35BB" w:rsidRDefault="00EA35BB" w:rsidP="00EA35BB">
      <w:r>
        <w:t xml:space="preserve">Source cost information using the latest edition of the electronic Drug Tariff as a first choice. </w:t>
      </w:r>
    </w:p>
    <w:p w14:paraId="2A718224" w14:textId="77777777" w:rsidR="00EA35BB" w:rsidRDefault="00EA35BB" w:rsidP="00EA35BB">
      <w:r>
        <w:t xml:space="preserve">Always quote costs without adding VAT. </w:t>
      </w:r>
    </w:p>
    <w:p w14:paraId="5F9A71B9" w14:textId="77777777" w:rsidR="00EA35BB" w:rsidRDefault="00EA35BB" w:rsidP="00EA35BB">
      <w:r>
        <w:lastRenderedPageBreak/>
        <w:t xml:space="preserve">Expected patient numbers per 100,000 population. </w:t>
      </w:r>
    </w:p>
    <w:p w14:paraId="085D10A3" w14:textId="77777777" w:rsidR="00EA35BB" w:rsidRDefault="00EA35BB" w:rsidP="00EA35BB">
      <w:r>
        <w:t xml:space="preserve">Costing information - top-line information, e.g., change in drug cost per 100,000 population, change in activity cost per 100,000 population. </w:t>
      </w:r>
    </w:p>
    <w:p w14:paraId="53BC1CB9" w14:textId="7C5C9F6D" w:rsidR="00EA35BB" w:rsidRDefault="00EA35BB" w:rsidP="00EA35BB">
      <w:pPr>
        <w:pStyle w:val="Heading2"/>
      </w:pPr>
      <w:r>
        <w:t xml:space="preserve">Related guidance </w:t>
      </w:r>
    </w:p>
    <w:p w14:paraId="72A6D020" w14:textId="77777777" w:rsidR="00EA35BB" w:rsidRDefault="00EA35BB" w:rsidP="00EA35BB">
      <w:r>
        <w:t>Include if relevant.</w:t>
      </w:r>
    </w:p>
    <w:p w14:paraId="303A087E" w14:textId="77777777" w:rsidR="00EA35BB" w:rsidRDefault="00EA35BB" w:rsidP="00EA35BB">
      <w:r>
        <w:t xml:space="preserve">Reference any available NICE guidance and relevant local guidance on the same subject matter. Add them as hyperlinks or ask for hyperlinks to be inserted in final version. When quoting NICE guidance refer to the NG number and the date published. </w:t>
      </w:r>
    </w:p>
    <w:p w14:paraId="4F9184CE" w14:textId="7553F063" w:rsidR="00EA35BB" w:rsidRDefault="00EA35BB" w:rsidP="00EA35BB">
      <w:pPr>
        <w:pStyle w:val="Heading2"/>
      </w:pPr>
      <w:r>
        <w:t xml:space="preserve">Effectiveness </w:t>
      </w:r>
    </w:p>
    <w:p w14:paraId="1CA0BF8F" w14:textId="77777777" w:rsidR="00EA35BB" w:rsidRDefault="00EA35BB" w:rsidP="00EA35BB">
      <w:r>
        <w:t>Evidence summary and mechanism of action.</w:t>
      </w:r>
    </w:p>
    <w:p w14:paraId="5592B5FD" w14:textId="77777777" w:rsidR="00EA35BB" w:rsidRDefault="00EA35BB" w:rsidP="00EA35BB">
      <w:r>
        <w:t>If it’s a NICE TA, use evidence summary from TA.</w:t>
      </w:r>
    </w:p>
    <w:p w14:paraId="19EDB614" w14:textId="3D648D6F" w:rsidR="00EA35BB" w:rsidRDefault="00EA35BB" w:rsidP="00EA35BB">
      <w:pPr>
        <w:pStyle w:val="Heading2"/>
      </w:pPr>
      <w:r>
        <w:t xml:space="preserve">References </w:t>
      </w:r>
    </w:p>
    <w:p w14:paraId="4F6EE3EC" w14:textId="107CEE0D" w:rsidR="00EA35BB" w:rsidRDefault="00EA35BB" w:rsidP="00EA35BB">
      <w:pPr>
        <w:pStyle w:val="ListParagraph"/>
        <w:numPr>
          <w:ilvl w:val="0"/>
          <w:numId w:val="1"/>
        </w:numPr>
      </w:pPr>
      <w:r>
        <w:t xml:space="preserve">First reference </w:t>
      </w:r>
    </w:p>
    <w:p w14:paraId="0F2159A7" w14:textId="05DFB04E" w:rsidR="00EA35BB" w:rsidRDefault="00EA35BB" w:rsidP="00EA35BB">
      <w:pPr>
        <w:pStyle w:val="ListParagraph"/>
        <w:numPr>
          <w:ilvl w:val="0"/>
          <w:numId w:val="1"/>
        </w:numPr>
      </w:pPr>
      <w:r>
        <w:t xml:space="preserve">Second reference </w:t>
      </w:r>
    </w:p>
    <w:p w14:paraId="77275D0B" w14:textId="77777777" w:rsidR="00EA35BB" w:rsidRDefault="00EA35BB" w:rsidP="00EA35BB">
      <w:r>
        <w:t xml:space="preserve">Patients who are not eligible for treatment under this policy may still be considered for treatment on an individual basis where their GP or consultant believes exceptional circumstances exist that warrant deviation from the rule of this policy. Follow the locally defined process. </w:t>
      </w:r>
    </w:p>
    <w:p w14:paraId="27630D31" w14:textId="14086D82" w:rsidR="000A39C7" w:rsidRDefault="000A39C7"/>
    <w:sectPr w:rsidR="000A39C7" w:rsidSect="00EA35BB">
      <w:headerReference w:type="default"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EE31" w14:textId="77777777" w:rsidR="00BD508F" w:rsidRDefault="00BD508F" w:rsidP="00EA35BB">
      <w:pPr>
        <w:spacing w:after="0" w:line="240" w:lineRule="auto"/>
      </w:pPr>
      <w:r>
        <w:separator/>
      </w:r>
    </w:p>
  </w:endnote>
  <w:endnote w:type="continuationSeparator" w:id="0">
    <w:p w14:paraId="4EF6BA18" w14:textId="77777777" w:rsidR="00BD508F" w:rsidRDefault="00BD508F" w:rsidP="00EA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BBC8" w14:textId="6D551871" w:rsidR="009D6C99" w:rsidRDefault="009D6C99">
    <w:pPr>
      <w:pStyle w:val="Footer"/>
    </w:pPr>
    <w:r w:rsidRPr="009D6C99">
      <w:rPr>
        <w:b/>
        <w:bCs/>
      </w:rPr>
      <w:fldChar w:fldCharType="begin"/>
    </w:r>
    <w:r w:rsidRPr="009D6C99">
      <w:rPr>
        <w:b/>
        <w:bCs/>
      </w:rPr>
      <w:instrText xml:space="preserve"> page </w:instrText>
    </w:r>
    <w:r w:rsidRPr="009D6C99">
      <w:rPr>
        <w:b/>
        <w:bCs/>
      </w:rPr>
      <w:fldChar w:fldCharType="separate"/>
    </w:r>
    <w:r w:rsidRPr="009D6C99">
      <w:rPr>
        <w:b/>
        <w:bCs/>
        <w:noProof/>
      </w:rPr>
      <w:t>2</w:t>
    </w:r>
    <w:r w:rsidRPr="009D6C99">
      <w:rPr>
        <w:b/>
        <w:bCs/>
      </w:rPr>
      <w:fldChar w:fldCharType="end"/>
    </w:r>
    <w:r>
      <w:t xml:space="preserve"> | Cheshire and Merseyside APG prescribing </w:t>
    </w:r>
    <w:proofErr w:type="gramStart"/>
    <w:r>
      <w:t>policy</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8D4F" w14:textId="77777777" w:rsidR="006639A6" w:rsidRDefault="00EA35BB">
    <w:pPr>
      <w:pStyle w:val="Footer"/>
    </w:pPr>
    <w:r w:rsidRPr="00EA35BB">
      <w:t xml:space="preserve">ICB approval date: Dd </w:t>
    </w:r>
    <w:proofErr w:type="spellStart"/>
    <w:r w:rsidRPr="00EA35BB">
      <w:t>Mmm</w:t>
    </w:r>
    <w:proofErr w:type="spellEnd"/>
    <w:r w:rsidRPr="00EA35BB">
      <w:t xml:space="preserve"> </w:t>
    </w:r>
    <w:proofErr w:type="spellStart"/>
    <w:r w:rsidRPr="00EA35BB">
      <w:t>Yyyy</w:t>
    </w:r>
    <w:proofErr w:type="spellEnd"/>
    <w:r w:rsidRPr="00EA35BB">
      <w:tab/>
    </w:r>
    <w:r w:rsidRPr="00EA35BB">
      <w:tab/>
      <w:t xml:space="preserve">Version </w:t>
    </w:r>
    <w:proofErr w:type="spellStart"/>
    <w:r w:rsidRPr="00EA35BB">
      <w:t>x.x</w:t>
    </w:r>
    <w:proofErr w:type="spellEnd"/>
  </w:p>
  <w:p w14:paraId="6BB032E0" w14:textId="545087B2" w:rsidR="00EA35BB" w:rsidRDefault="00EA35BB">
    <w:pPr>
      <w:pStyle w:val="Footer"/>
    </w:pPr>
    <w:r w:rsidRPr="00EA35BB">
      <w:t xml:space="preserve">Review </w:t>
    </w:r>
    <w:proofErr w:type="spellStart"/>
    <w:r w:rsidRPr="00EA35BB">
      <w:t>Mmm</w:t>
    </w:r>
    <w:proofErr w:type="spellEnd"/>
    <w:r w:rsidRPr="00EA35BB">
      <w:t xml:space="preserve"> </w:t>
    </w:r>
    <w:proofErr w:type="spellStart"/>
    <w:r w:rsidRPr="00EA35BB">
      <w:t>Yyyy</w:t>
    </w:r>
    <w:proofErr w:type="spellEnd"/>
    <w:r w:rsidRPr="00EA35BB">
      <w:t xml:space="preserve"> or earlier if there is significant new evidence relating to this </w:t>
    </w:r>
    <w:proofErr w:type="gramStart"/>
    <w:r w:rsidRPr="00EA35BB">
      <w:t>recommendation</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E4E8" w14:textId="77777777" w:rsidR="00BD508F" w:rsidRDefault="00BD508F" w:rsidP="00EA35BB">
      <w:pPr>
        <w:spacing w:after="0" w:line="240" w:lineRule="auto"/>
      </w:pPr>
      <w:r>
        <w:separator/>
      </w:r>
    </w:p>
  </w:footnote>
  <w:footnote w:type="continuationSeparator" w:id="0">
    <w:p w14:paraId="28F2CB27" w14:textId="77777777" w:rsidR="00BD508F" w:rsidRDefault="00BD508F" w:rsidP="00EA3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BB8C" w14:textId="092F5778" w:rsidR="00EA35BB" w:rsidRDefault="006639A6">
    <w:pPr>
      <w:pStyle w:val="Header"/>
    </w:pPr>
    <w:r>
      <w:fldChar w:fldCharType="begin"/>
    </w:r>
    <w:r>
      <w:instrText xml:space="preserve"> styleref "Title" </w:instrText>
    </w:r>
    <w:r>
      <w:fldChar w:fldCharType="separate"/>
    </w:r>
    <w:r w:rsidR="00071ABC">
      <w:rPr>
        <w:noProof/>
      </w:rPr>
      <w:t>[Drug name] for [indication]</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DE75" w14:textId="1AE31C3F" w:rsidR="009D6C99" w:rsidRDefault="00071ABC" w:rsidP="0061466F">
    <w:pPr>
      <w:pStyle w:val="Header"/>
      <w:pBdr>
        <w:bottom w:val="none" w:sz="0" w:space="0" w:color="auto"/>
      </w:pBdr>
      <w:tabs>
        <w:tab w:val="clear" w:pos="4513"/>
        <w:tab w:val="clear" w:pos="9026"/>
        <w:tab w:val="right" w:pos="10433"/>
      </w:tabs>
    </w:pPr>
    <w:sdt>
      <w:sdtPr>
        <w:id w:val="-974681662"/>
        <w:docPartObj>
          <w:docPartGallery w:val="Watermarks"/>
          <w:docPartUnique/>
        </w:docPartObj>
      </w:sdtPr>
      <w:sdtEndPr/>
      <w:sdtContent>
        <w:r>
          <w:rPr>
            <w:noProof/>
          </w:rPr>
          <w:pict w14:anchorId="768E0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1466F">
      <w:rPr>
        <w:noProof/>
      </w:rPr>
      <mc:AlternateContent>
        <mc:Choice Requires="wps">
          <w:drawing>
            <wp:inline distT="0" distB="0" distL="0" distR="0" wp14:anchorId="45C3680F" wp14:editId="31F76449">
              <wp:extent cx="3312000" cy="576000"/>
              <wp:effectExtent l="0" t="0" r="0" b="0"/>
              <wp:docPr id="1749348395" name="Text Box 2"/>
              <wp:cNvGraphicFramePr/>
              <a:graphic xmlns:a="http://schemas.openxmlformats.org/drawingml/2006/main">
                <a:graphicData uri="http://schemas.microsoft.com/office/word/2010/wordprocessingShape">
                  <wps:wsp>
                    <wps:cNvSpPr txBox="1"/>
                    <wps:spPr>
                      <a:xfrm>
                        <a:off x="0" y="0"/>
                        <a:ext cx="3312000" cy="576000"/>
                      </a:xfrm>
                      <a:prstGeom prst="rect">
                        <a:avLst/>
                      </a:prstGeom>
                      <a:noFill/>
                      <a:ln w="6350">
                        <a:noFill/>
                      </a:ln>
                    </wps:spPr>
                    <wps:txbx>
                      <w:txbxContent>
                        <w:p w14:paraId="453A8EA7" w14:textId="77777777" w:rsidR="0061466F" w:rsidRPr="003A6986" w:rsidRDefault="0061466F" w:rsidP="0061466F">
                          <w:pPr>
                            <w:rPr>
                              <w:b/>
                              <w:bCs/>
                              <w:color w:val="FF0000"/>
                              <w:sz w:val="24"/>
                              <w:szCs w:val="24"/>
                            </w:rPr>
                          </w:pPr>
                          <w:r w:rsidRPr="003A6986">
                            <w:rPr>
                              <w:b/>
                              <w:bCs/>
                              <w:color w:val="FF0000"/>
                              <w:sz w:val="24"/>
                              <w:szCs w:val="24"/>
                            </w:rPr>
                            <w:t>Draft documents are confidential to the NHS and should not otherwise be shared.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du="http://schemas.microsoft.com/office/word/2023/wordml/word16du">
          <w:pict>
            <v:shapetype w14:anchorId="45C3680F" id="_x0000_t202" coordsize="21600,21600" o:spt="202" path="m,l,21600r21600,l21600,xe">
              <v:stroke joinstyle="miter"/>
              <v:path gradientshapeok="t" o:connecttype="rect"/>
            </v:shapetype>
            <v:shape id="Text Box 2" o:spid="_x0000_s1026" type="#_x0000_t202" style="width:260.8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" filled="f" stroked="f" strokeweight=".5pt">
              <v:textbox>
                <w:txbxContent>
                  <w:p w14:paraId="453A8EA7" w14:textId="77777777" w:rsidR="0061466F" w:rsidRPr="003A6986" w:rsidRDefault="0061466F" w:rsidP="0061466F">
                    <w:pPr>
                      <w:rPr>
                        <w:b/>
                        <w:bCs/>
                        <w:color w:val="FF0000"/>
                        <w:sz w:val="24"/>
                        <w:szCs w:val="24"/>
                      </w:rPr>
                    </w:pPr>
                    <w:r w:rsidRPr="003A6986">
                      <w:rPr>
                        <w:b/>
                        <w:bCs/>
                        <w:color w:val="FF0000"/>
                        <w:sz w:val="24"/>
                        <w:szCs w:val="24"/>
                      </w:rPr>
                      <w:t>Draft documents are confidential to the NHS and should not otherwise be shared.</w:t>
                    </w:r>
                  </w:p>
                </w:txbxContent>
              </v:textbox>
              <w10:anchorlock/>
            </v:shape>
          </w:pict>
        </mc:Fallback>
      </mc:AlternateContent>
    </w:r>
    <w:r w:rsidR="0061466F">
      <w:tab/>
    </w:r>
    <w:r w:rsidR="0061466F">
      <w:rPr>
        <w:noProof/>
      </w:rPr>
      <w:drawing>
        <wp:inline distT="0" distB="0" distL="0" distR="0" wp14:anchorId="67E74A38" wp14:editId="2F172CD9">
          <wp:extent cx="2332800" cy="572400"/>
          <wp:effectExtent l="0" t="0" r="0" b="0"/>
          <wp:docPr id="177271994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1994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28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F493A"/>
    <w:multiLevelType w:val="hybridMultilevel"/>
    <w:tmpl w:val="14624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055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Lke6xSJCcw2wQ2j8lYWBmcts6kale7b5wapwZuSx2fxXDebFGmD2f6dOBP4mrLpYkezHcR/htW1BkRRjond6+w==" w:salt="+DH8lbl9efLqkRx5a4sYb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BB"/>
    <w:rsid w:val="000458FA"/>
    <w:rsid w:val="00071ABC"/>
    <w:rsid w:val="000A39C7"/>
    <w:rsid w:val="00213F24"/>
    <w:rsid w:val="00331247"/>
    <w:rsid w:val="003A6986"/>
    <w:rsid w:val="003E5615"/>
    <w:rsid w:val="0061466F"/>
    <w:rsid w:val="006639A6"/>
    <w:rsid w:val="00732D61"/>
    <w:rsid w:val="007A3FBA"/>
    <w:rsid w:val="00871C98"/>
    <w:rsid w:val="009D6C99"/>
    <w:rsid w:val="00AD3D95"/>
    <w:rsid w:val="00BD508F"/>
    <w:rsid w:val="00BD5EBB"/>
    <w:rsid w:val="00DB281B"/>
    <w:rsid w:val="00E579D5"/>
    <w:rsid w:val="00EA35BB"/>
    <w:rsid w:val="00F776AE"/>
    <w:rsid w:val="00FF1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07E9"/>
  <w15:chartTrackingRefBased/>
  <w15:docId w15:val="{B5887CCD-B1D8-461B-9B21-6B28BD44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next w:val="Normal"/>
    <w:link w:val="Heading1Char"/>
    <w:uiPriority w:val="9"/>
    <w:qFormat/>
    <w:rsid w:val="00BD5EBB"/>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Heading1"/>
    <w:next w:val="Normal"/>
    <w:link w:val="Heading2Char"/>
    <w:uiPriority w:val="9"/>
    <w:unhideWhenUsed/>
    <w:qFormat/>
    <w:rsid w:val="00BD5EBB"/>
    <w:pPr>
      <w:spacing w:before="40"/>
      <w:outlineLvl w:val="1"/>
    </w:pPr>
    <w:rPr>
      <w:sz w:val="26"/>
      <w:szCs w:val="26"/>
    </w:rPr>
  </w:style>
  <w:style w:type="paragraph" w:styleId="Heading3">
    <w:name w:val="heading 3"/>
    <w:basedOn w:val="Heading2"/>
    <w:next w:val="Normal"/>
    <w:link w:val="Heading3Char"/>
    <w:uiPriority w:val="9"/>
    <w:semiHidden/>
    <w:unhideWhenUsed/>
    <w:qFormat/>
    <w:rsid w:val="00BD5EBB"/>
    <w:pPr>
      <w:outlineLvl w:val="2"/>
    </w:pPr>
    <w:rPr>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3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5B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D5EBB"/>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BD5EBB"/>
    <w:rPr>
      <w:rFonts w:asciiTheme="majorHAnsi" w:eastAsiaTheme="majorEastAsia" w:hAnsiTheme="majorHAnsi" w:cstheme="majorBidi"/>
      <w:b/>
      <w:sz w:val="26"/>
      <w:szCs w:val="26"/>
    </w:rPr>
  </w:style>
  <w:style w:type="paragraph" w:styleId="ListParagraph">
    <w:name w:val="List Paragraph"/>
    <w:basedOn w:val="Normal"/>
    <w:uiPriority w:val="34"/>
    <w:qFormat/>
    <w:rsid w:val="00EA35BB"/>
    <w:pPr>
      <w:ind w:left="720"/>
      <w:contextualSpacing/>
    </w:pPr>
  </w:style>
  <w:style w:type="paragraph" w:styleId="Header">
    <w:name w:val="header"/>
    <w:basedOn w:val="Normal"/>
    <w:link w:val="HeaderChar"/>
    <w:uiPriority w:val="99"/>
    <w:unhideWhenUsed/>
    <w:rsid w:val="009D6C99"/>
    <w:pPr>
      <w:pBdr>
        <w:bottom w:val="single" w:sz="4" w:space="4" w:color="auto"/>
      </w:pBdr>
      <w:tabs>
        <w:tab w:val="center" w:pos="4513"/>
        <w:tab w:val="right" w:pos="9026"/>
      </w:tabs>
      <w:spacing w:after="220" w:line="240" w:lineRule="auto"/>
    </w:pPr>
  </w:style>
  <w:style w:type="character" w:customStyle="1" w:styleId="HeaderChar">
    <w:name w:val="Header Char"/>
    <w:basedOn w:val="DefaultParagraphFont"/>
    <w:link w:val="Header"/>
    <w:uiPriority w:val="99"/>
    <w:rsid w:val="009D6C99"/>
  </w:style>
  <w:style w:type="paragraph" w:styleId="Footer">
    <w:name w:val="footer"/>
    <w:basedOn w:val="Normal"/>
    <w:link w:val="FooterChar"/>
    <w:uiPriority w:val="99"/>
    <w:unhideWhenUsed/>
    <w:rsid w:val="009D6C99"/>
    <w:pPr>
      <w:pBdr>
        <w:top w:val="single" w:sz="4" w:space="4" w:color="auto"/>
      </w:pBdr>
      <w:tabs>
        <w:tab w:val="center" w:pos="5216"/>
        <w:tab w:val="right" w:pos="10433"/>
      </w:tabs>
      <w:spacing w:before="220" w:after="0" w:line="240" w:lineRule="auto"/>
      <w:contextualSpacing/>
    </w:pPr>
  </w:style>
  <w:style w:type="character" w:customStyle="1" w:styleId="FooterChar">
    <w:name w:val="Footer Char"/>
    <w:basedOn w:val="DefaultParagraphFont"/>
    <w:link w:val="Footer"/>
    <w:uiPriority w:val="99"/>
    <w:rsid w:val="009D6C99"/>
  </w:style>
  <w:style w:type="character" w:customStyle="1" w:styleId="Heading3Char">
    <w:name w:val="Heading 3 Char"/>
    <w:basedOn w:val="DefaultParagraphFont"/>
    <w:link w:val="Heading3"/>
    <w:uiPriority w:val="9"/>
    <w:semiHidden/>
    <w:rsid w:val="00BD5EBB"/>
    <w:rPr>
      <w:rFonts w:asciiTheme="majorHAnsi" w:eastAsiaTheme="majorEastAsia" w:hAnsiTheme="majorHAnsi" w:cstheme="majorBidi"/>
      <w:color w:val="1F3763" w:themeColor="accent1" w:themeShade="7F"/>
      <w:sz w:val="24"/>
      <w:szCs w:val="24"/>
    </w:rPr>
  </w:style>
  <w:style w:type="paragraph" w:customStyle="1" w:styleId="Heading1Red">
    <w:name w:val="Heading 1 Red"/>
    <w:basedOn w:val="Heading1"/>
    <w:next w:val="Normal"/>
    <w:qFormat/>
    <w:rsid w:val="00BD5EBB"/>
    <w:pPr>
      <w:pBdr>
        <w:top w:val="single" w:sz="4" w:space="4" w:color="FF0000"/>
        <w:bottom w:val="single" w:sz="4" w:space="4" w:color="FF0000"/>
      </w:pBdr>
      <w:shd w:val="clear" w:color="auto" w:fill="FF0000"/>
    </w:pPr>
  </w:style>
  <w:style w:type="paragraph" w:customStyle="1" w:styleId="Heading1Amber">
    <w:name w:val="Heading 1 Amber"/>
    <w:basedOn w:val="Heading1"/>
    <w:next w:val="Normal"/>
    <w:qFormat/>
    <w:rsid w:val="00BD5EBB"/>
    <w:pPr>
      <w:pBdr>
        <w:top w:val="single" w:sz="4" w:space="4" w:color="FFC000"/>
        <w:bottom w:val="single" w:sz="4" w:space="4" w:color="FFC000"/>
      </w:pBdr>
      <w:shd w:val="clear" w:color="auto" w:fill="FFC000"/>
    </w:pPr>
  </w:style>
  <w:style w:type="paragraph" w:customStyle="1" w:styleId="Heading1Green">
    <w:name w:val="Heading 1 Green"/>
    <w:basedOn w:val="Heading1"/>
    <w:next w:val="Normal"/>
    <w:qFormat/>
    <w:rsid w:val="00BD5EBB"/>
    <w:pPr>
      <w:pBdr>
        <w:top w:val="single" w:sz="4" w:space="4" w:color="00B050"/>
        <w:bottom w:val="single" w:sz="4" w:space="4" w:color="00B050"/>
      </w:pBdr>
      <w:shd w:val="clear" w:color="auto" w:fill="00B050"/>
    </w:pPr>
  </w:style>
  <w:style w:type="paragraph" w:customStyle="1" w:styleId="Heading1Black">
    <w:name w:val="Heading 1 Black"/>
    <w:basedOn w:val="Heading1"/>
    <w:next w:val="Normal"/>
    <w:qFormat/>
    <w:rsid w:val="00BD5EBB"/>
    <w:pPr>
      <w:pBdr>
        <w:top w:val="single" w:sz="4" w:space="4" w:color="000000" w:themeColor="text1"/>
        <w:bottom w:val="single" w:sz="4" w:space="4" w:color="000000" w:themeColor="text1"/>
      </w:pBdr>
      <w:shd w:val="clear" w:color="auto" w:fill="000000" w:themeFill="text1"/>
    </w:pPr>
  </w:style>
  <w:style w:type="paragraph" w:customStyle="1" w:styleId="Heading1Grey">
    <w:name w:val="Heading 1 Grey"/>
    <w:basedOn w:val="Heading1"/>
    <w:next w:val="Normal"/>
    <w:qFormat/>
    <w:rsid w:val="00BD5EBB"/>
    <w:pPr>
      <w:pBdr>
        <w:top w:val="single" w:sz="4" w:space="4" w:color="BFBFBF" w:themeColor="background1" w:themeShade="BF"/>
        <w:bottom w:val="single" w:sz="4" w:space="4" w:color="BFBFBF" w:themeColor="background1" w:themeShade="BF"/>
      </w:pBdr>
      <w:shd w:val="clear" w:color="auto" w:fill="BFBFBF" w:themeFill="background1" w:themeFillShade="B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288c42-87c6-453e-a1ec-ca5288e8f75d">
      <Terms xmlns="http://schemas.microsoft.com/office/infopath/2007/PartnerControls"/>
    </lcf76f155ced4ddcb4097134ff3c332f>
    <TaxCatchAll xmlns="b60a3ff7-bfab-4e27-a722-e3a3376f41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A8FAA363E4914587DF3E37CD61951D" ma:contentTypeVersion="14" ma:contentTypeDescription="Create a new document." ma:contentTypeScope="" ma:versionID="1942985b4afe70bca325349a3cf40ea6">
  <xsd:schema xmlns:xsd="http://www.w3.org/2001/XMLSchema" xmlns:xs="http://www.w3.org/2001/XMLSchema" xmlns:p="http://schemas.microsoft.com/office/2006/metadata/properties" xmlns:ns2="f2288c42-87c6-453e-a1ec-ca5288e8f75d" xmlns:ns3="b60a3ff7-bfab-4e27-a722-e3a3376f412e" targetNamespace="http://schemas.microsoft.com/office/2006/metadata/properties" ma:root="true" ma:fieldsID="5e7265e011981b7fd46095819a66dc79" ns2:_="" ns3:_="">
    <xsd:import namespace="f2288c42-87c6-453e-a1ec-ca5288e8f75d"/>
    <xsd:import namespace="b60a3ff7-bfab-4e27-a722-e3a3376f41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88c42-87c6-453e-a1ec-ca5288e8f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0a3ff7-bfab-4e27-a722-e3a3376f41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50894b-440b-4fb7-8888-936d8e926a35}" ma:internalName="TaxCatchAll" ma:showField="CatchAllData" ma:web="b60a3ff7-bfab-4e27-a722-e3a3376f4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30A90-DC86-4F0D-97AE-3F82BE759162}">
  <ds:schemaRefs>
    <ds:schemaRef ds:uri="http://schemas.microsoft.com/sharepoint/v3/contenttype/forms"/>
  </ds:schemaRefs>
</ds:datastoreItem>
</file>

<file path=customXml/itemProps2.xml><?xml version="1.0" encoding="utf-8"?>
<ds:datastoreItem xmlns:ds="http://schemas.openxmlformats.org/officeDocument/2006/customXml" ds:itemID="{5FEE04E0-A461-49AA-9E9E-397508BDBB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60a3ff7-bfab-4e27-a722-e3a3376f412e"/>
    <ds:schemaRef ds:uri="f2288c42-87c6-453e-a1ec-ca5288e8f75d"/>
    <ds:schemaRef ds:uri="http://www.w3.org/XML/1998/namespace"/>
    <ds:schemaRef ds:uri="http://purl.org/dc/dcmitype/"/>
  </ds:schemaRefs>
</ds:datastoreItem>
</file>

<file path=customXml/itemProps3.xml><?xml version="1.0" encoding="utf-8"?>
<ds:datastoreItem xmlns:ds="http://schemas.openxmlformats.org/officeDocument/2006/customXml" ds:itemID="{9BCBEB6D-9A73-4013-971D-AB6BF4B91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88c42-87c6-453e-a1ec-ca5288e8f75d"/>
    <ds:schemaRef ds:uri="b60a3ff7-bfab-4e27-a722-e3a3376f4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Prescribing policy</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policy</dc:title>
  <dc:subject/>
  <dc:creator/>
  <cp:keywords/>
  <dc:description/>
  <cp:lastModifiedBy>Tamsin Moroney</cp:lastModifiedBy>
  <cp:revision>13</cp:revision>
  <cp:lastPrinted>2024-05-29T12:18:00Z</cp:lastPrinted>
  <dcterms:created xsi:type="dcterms:W3CDTF">2024-05-17T10:10:00Z</dcterms:created>
  <dcterms:modified xsi:type="dcterms:W3CDTF">2024-06-26T14:04:00Z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2024-05-17T11:30:09Z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8395c67f-76a7-47cc-98a4-46ab20efe786</vt:lpwstr>
  </property>
  <property fmtid="{D5CDD505-2E9C-101B-9397-08002B2CF9AE}" pid="8" name="MSIP_Label_defa4170-0d19-0005-0004-bc88714345d2_ContentBits">
    <vt:lpwstr>0</vt:lpwstr>
  </property>
  <property fmtid="{D5CDD505-2E9C-101B-9397-08002B2CF9AE}" pid="9" name="ContentTypeId">
    <vt:lpwstr>0x01010085A8FAA363E4914587DF3E37CD61951D</vt:lpwstr>
  </property>
  <property fmtid="{D5CDD505-2E9C-101B-9397-08002B2CF9AE}" pid="10" name="MediaServiceImageTags">
    <vt:lpwstr/>
  </property>
</Properties>
</file>